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FD3" w:rsidRPr="00EA75C5" w:rsidRDefault="009D7FD3" w:rsidP="009D7FD3">
      <w:pPr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№ </w:t>
      </w:r>
      <w:r w:rsidRPr="001E00EF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 xml:space="preserve"> Общие положения титриметрическог</w:t>
      </w:r>
      <w:proofErr w:type="gramStart"/>
      <w:r>
        <w:rPr>
          <w:b/>
          <w:sz w:val="28"/>
          <w:szCs w:val="28"/>
        </w:rPr>
        <w:t>о(</w:t>
      </w:r>
      <w:proofErr w:type="gramEnd"/>
      <w:r>
        <w:rPr>
          <w:b/>
          <w:sz w:val="28"/>
          <w:szCs w:val="28"/>
        </w:rPr>
        <w:t xml:space="preserve"> объемного) анализа</w:t>
      </w:r>
    </w:p>
    <w:p w:rsidR="009D7FD3" w:rsidRDefault="009D7FD3" w:rsidP="009D7FD3">
      <w:pPr>
        <w:tabs>
          <w:tab w:val="left" w:pos="900"/>
        </w:tabs>
        <w:ind w:firstLine="900"/>
        <w:jc w:val="both"/>
        <w:rPr>
          <w:sz w:val="28"/>
          <w:szCs w:val="28"/>
        </w:rPr>
      </w:pP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весового анализа в аналитической химии применяют методы, основанные на </w:t>
      </w:r>
      <w:r>
        <w:rPr>
          <w:i/>
          <w:sz w:val="28"/>
          <w:szCs w:val="28"/>
        </w:rPr>
        <w:t>измерении количества реактива, затраченного на реакцию с определяемым веществом</w:t>
      </w:r>
      <w:r>
        <w:rPr>
          <w:sz w:val="28"/>
          <w:szCs w:val="28"/>
        </w:rPr>
        <w:t xml:space="preserve">. Для этой цели в соответствии с уравнением реакции </w:t>
      </w:r>
    </w:p>
    <w:p w:rsidR="009D7FD3" w:rsidRDefault="009D7FD3" w:rsidP="009D7FD3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↔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>, где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определяемое</w:t>
      </w:r>
      <w:proofErr w:type="gramEnd"/>
      <w:r>
        <w:rPr>
          <w:sz w:val="28"/>
          <w:szCs w:val="28"/>
        </w:rPr>
        <w:t xml:space="preserve"> вещество;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– реактив; Р – продукт реакции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Необходимо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отмеренному</w:t>
      </w:r>
      <w:proofErr w:type="gramEnd"/>
      <w:r>
        <w:rPr>
          <w:sz w:val="28"/>
          <w:szCs w:val="28"/>
        </w:rPr>
        <w:t xml:space="preserve"> количеству анализируемого вещества Х постепенно прибавлять реактив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до тех пор, пока не буде достигнуто эквивалентное отношение. Тогда по количеству затраченного реактива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можно рассчитать количество анализируемого вещества Х.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осуществления этого принципа удобнее всего применять реактив в виде раствора с известной концентрацией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применение реактива в твердом или в газообразном виде было бы неудобно). Для измерения количества раствора обычно измеряют его объем, поэтому эту группу методов анализа называют объемным анализом.</w:t>
      </w:r>
    </w:p>
    <w:p w:rsidR="009D7FD3" w:rsidRDefault="009D7FD3" w:rsidP="009D7FD3">
      <w:pPr>
        <w:ind w:firstLine="900"/>
        <w:jc w:val="center"/>
        <w:rPr>
          <w:sz w:val="28"/>
          <w:szCs w:val="28"/>
        </w:rPr>
      </w:pPr>
    </w:p>
    <w:p w:rsidR="009D7FD3" w:rsidRDefault="009D7FD3" w:rsidP="009D7FD3">
      <w:pPr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 Общая характеристика метода</w:t>
      </w:r>
    </w:p>
    <w:p w:rsidR="009D7FD3" w:rsidRDefault="009D7FD3" w:rsidP="009D7FD3">
      <w:pPr>
        <w:ind w:firstLine="900"/>
        <w:jc w:val="center"/>
        <w:rPr>
          <w:b/>
          <w:sz w:val="28"/>
          <w:szCs w:val="28"/>
        </w:rPr>
      </w:pP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Концентрацию растворов в объемном анализе выражают обычно числом </w:t>
      </w:r>
      <w:proofErr w:type="gramStart"/>
      <w:r>
        <w:rPr>
          <w:sz w:val="28"/>
          <w:szCs w:val="28"/>
        </w:rPr>
        <w:t>моль-эквивалентов</w:t>
      </w:r>
      <w:proofErr w:type="gramEnd"/>
      <w:r>
        <w:rPr>
          <w:sz w:val="28"/>
          <w:szCs w:val="28"/>
        </w:rPr>
        <w:t xml:space="preserve"> в </w:t>
      </w:r>
      <w:smartTag w:uri="urn:schemas-microsoft-com:office:smarttags" w:element="metricconverter">
        <w:smartTagPr>
          <w:attr w:name="ProductID" w:val="1 л"/>
        </w:smartTagPr>
        <w:r>
          <w:rPr>
            <w:sz w:val="28"/>
            <w:szCs w:val="28"/>
          </w:rPr>
          <w:t>1 л</w:t>
        </w:r>
      </w:smartTag>
      <w:r>
        <w:rPr>
          <w:sz w:val="28"/>
          <w:szCs w:val="28"/>
        </w:rPr>
        <w:t xml:space="preserve"> раствора. Эта концентрация называется </w:t>
      </w:r>
      <w:r>
        <w:rPr>
          <w:i/>
          <w:sz w:val="28"/>
          <w:szCs w:val="28"/>
        </w:rPr>
        <w:t>нормальной концентрацией.</w:t>
      </w:r>
      <w:r>
        <w:rPr>
          <w:sz w:val="28"/>
          <w:szCs w:val="28"/>
        </w:rPr>
        <w:t xml:space="preserve"> Так, например, 0,1 н раствор едкого натра содержит 0,1 моль-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</w:t>
      </w:r>
      <w:proofErr w:type="spellStart"/>
      <w:proofErr w:type="gramStart"/>
      <w:r>
        <w:rPr>
          <w:sz w:val="28"/>
          <w:szCs w:val="28"/>
          <w:lang w:val="en-US"/>
        </w:rPr>
        <w:t>NaOH</w:t>
      </w:r>
      <w:proofErr w:type="spellEnd"/>
      <w:r>
        <w:rPr>
          <w:sz w:val="28"/>
          <w:szCs w:val="28"/>
        </w:rPr>
        <w:t xml:space="preserve"> в 1 литре раствора.</w:t>
      </w:r>
      <w:proofErr w:type="gramEnd"/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этого способа выражения концентрации растворов, используют понятие </w:t>
      </w:r>
      <w:r>
        <w:rPr>
          <w:i/>
          <w:sz w:val="28"/>
          <w:szCs w:val="28"/>
        </w:rPr>
        <w:t xml:space="preserve">титра раствора,  </w:t>
      </w:r>
      <w:r>
        <w:rPr>
          <w:sz w:val="28"/>
          <w:szCs w:val="28"/>
          <w:u w:val="single"/>
        </w:rPr>
        <w:t xml:space="preserve">который </w:t>
      </w:r>
      <w:proofErr w:type="gramStart"/>
      <w:r>
        <w:rPr>
          <w:sz w:val="28"/>
          <w:szCs w:val="28"/>
          <w:u w:val="single"/>
        </w:rPr>
        <w:t>показывает</w:t>
      </w:r>
      <w:proofErr w:type="gramEnd"/>
      <w:r>
        <w:rPr>
          <w:sz w:val="28"/>
          <w:szCs w:val="28"/>
          <w:u w:val="single"/>
        </w:rPr>
        <w:t xml:space="preserve"> сколько граммов вещества содержится в 1 миллилитре раствора.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Процесс </w:t>
      </w:r>
      <w:proofErr w:type="spellStart"/>
      <w:r>
        <w:rPr>
          <w:sz w:val="28"/>
          <w:szCs w:val="28"/>
        </w:rPr>
        <w:t>приливания</w:t>
      </w:r>
      <w:proofErr w:type="spellEnd"/>
      <w:r>
        <w:rPr>
          <w:sz w:val="28"/>
          <w:szCs w:val="28"/>
        </w:rPr>
        <w:t xml:space="preserve"> одного раствора, находящегося в бюретке, к другому раствору для определения концентрации одного из них </w:t>
      </w:r>
      <w:proofErr w:type="gramStart"/>
      <w:r>
        <w:rPr>
          <w:sz w:val="28"/>
          <w:szCs w:val="28"/>
        </w:rPr>
        <w:t xml:space="preserve">(  </w:t>
      </w:r>
      <w:proofErr w:type="gramEnd"/>
      <w:r>
        <w:rPr>
          <w:sz w:val="28"/>
          <w:szCs w:val="28"/>
        </w:rPr>
        <w:t xml:space="preserve">при известной концентрации другого) называется </w:t>
      </w:r>
      <w:r>
        <w:rPr>
          <w:sz w:val="28"/>
          <w:szCs w:val="28"/>
          <w:u w:val="single"/>
        </w:rPr>
        <w:t>титрованием</w:t>
      </w:r>
      <w:r>
        <w:rPr>
          <w:sz w:val="28"/>
          <w:szCs w:val="28"/>
        </w:rPr>
        <w:t xml:space="preserve">. В объемно анализе все растворы с точно известной концентрацией называются </w:t>
      </w:r>
      <w:r>
        <w:rPr>
          <w:sz w:val="28"/>
          <w:szCs w:val="28"/>
          <w:u w:val="single"/>
        </w:rPr>
        <w:t>титрованными растворами.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Раствор реактива с точно известной концентрацией называют рабочим титрованным раствором или просто рабочим раствором.</w:t>
      </w:r>
      <w:r>
        <w:rPr>
          <w:sz w:val="28"/>
          <w:szCs w:val="28"/>
        </w:rPr>
        <w:t xml:space="preserve"> Иногда применяют термин</w:t>
      </w:r>
      <w:r>
        <w:rPr>
          <w:sz w:val="28"/>
          <w:szCs w:val="28"/>
          <w:u w:val="single"/>
        </w:rPr>
        <w:t xml:space="preserve"> стандартный раствор</w:t>
      </w:r>
      <w:r>
        <w:rPr>
          <w:sz w:val="28"/>
          <w:szCs w:val="28"/>
        </w:rPr>
        <w:t>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Главная особенность объемного анализа – его быстрота и возможность использования разнообразных химических свойств веществ.</w:t>
      </w:r>
    </w:p>
    <w:p w:rsidR="009D7FD3" w:rsidRDefault="009D7FD3" w:rsidP="009D7FD3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Однако следуем помнить, что в объемном анализе можно использовать только те реакции, которые удовлетворяют определенным требованиям. Главное из них: </w:t>
      </w:r>
      <w:r>
        <w:rPr>
          <w:sz w:val="28"/>
          <w:szCs w:val="28"/>
          <w:u w:val="single"/>
        </w:rPr>
        <w:t>взаимодействие между определяемым веществом и реактивом должно идти в определенных стехиометрических отношениях.</w:t>
      </w:r>
    </w:p>
    <w:p w:rsidR="009D7FD3" w:rsidRDefault="009D7FD3" w:rsidP="009D7FD3">
      <w:pPr>
        <w:ind w:firstLine="900"/>
        <w:jc w:val="center"/>
        <w:rPr>
          <w:sz w:val="28"/>
          <w:szCs w:val="28"/>
        </w:rPr>
      </w:pPr>
      <w:r>
        <w:rPr>
          <w:b/>
          <w:sz w:val="28"/>
          <w:szCs w:val="28"/>
        </w:rPr>
        <w:t>2 Точка эквивалентности</w:t>
      </w:r>
    </w:p>
    <w:p w:rsidR="009D7FD3" w:rsidRDefault="009D7FD3" w:rsidP="009D7FD3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lastRenderedPageBreak/>
        <w:t xml:space="preserve">При  титровании необходимо установить количество рабочего раствора, эквивалентное количеству определяемого вещества. Для этой цели к исследуемому раствору приливают постепенно рабочий раствор до тех пор, пока не будет достигнуто эквивалентное отношение определяемого вещества и реактива. </w:t>
      </w:r>
      <w:r>
        <w:rPr>
          <w:sz w:val="28"/>
          <w:szCs w:val="28"/>
          <w:u w:val="single"/>
        </w:rPr>
        <w:t>Этот момент титрования называют точкой эквивалентности.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Точка эквивалентности характеризуется особым отношением концентраций реагирующих веществ</w:t>
      </w:r>
      <w:r>
        <w:rPr>
          <w:sz w:val="28"/>
          <w:szCs w:val="28"/>
          <w:u w:val="single"/>
        </w:rPr>
        <w:t>. В точке эквивалентности концентрации реагирующих компонентов в растворе эквивалентны или равны.</w:t>
      </w:r>
      <w:r>
        <w:rPr>
          <w:sz w:val="28"/>
          <w:szCs w:val="28"/>
        </w:rPr>
        <w:t xml:space="preserve"> До точки эквивалентности в начале титрования в растворе избыток определяемого иона, после точки эквивалентности в растворе появляется избыток ионов реактива. А в точке эквивалентности концентрации обоих ионов одинаковы.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Например, для титрования азотнокислого серебра хлористым натрием можно написать уравнение реакции</w:t>
      </w:r>
    </w:p>
    <w:p w:rsidR="009D7FD3" w:rsidRDefault="009D7FD3" w:rsidP="009D7FD3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Ag</w:t>
      </w:r>
      <w:proofErr w:type="gramStart"/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+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 = </w:t>
      </w:r>
      <w:proofErr w:type="spellStart"/>
      <w:r>
        <w:rPr>
          <w:sz w:val="28"/>
          <w:szCs w:val="28"/>
          <w:lang w:val="en-US"/>
        </w:rPr>
        <w:t>AgCl</w:t>
      </w:r>
      <w:proofErr w:type="spellEnd"/>
      <w:r>
        <w:rPr>
          <w:sz w:val="28"/>
          <w:szCs w:val="28"/>
        </w:rPr>
        <w:t>↓, т.е. в точке эквивалентности</w:t>
      </w:r>
    </w:p>
    <w:p w:rsidR="009D7FD3" w:rsidRDefault="009D7FD3" w:rsidP="009D7FD3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[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] = </w:t>
      </w:r>
      <w:proofErr w:type="gramStart"/>
      <w:r>
        <w:rPr>
          <w:sz w:val="28"/>
          <w:szCs w:val="28"/>
        </w:rPr>
        <w:t xml:space="preserve">[ </w:t>
      </w:r>
      <w:proofErr w:type="spellStart"/>
      <w:proofErr w:type="gramEnd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].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титровать </w:t>
      </w:r>
      <w:r>
        <w:rPr>
          <w:sz w:val="28"/>
          <w:szCs w:val="28"/>
          <w:lang w:val="en-US"/>
        </w:rPr>
        <w:t>Na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lang w:val="en-US"/>
        </w:rPr>
        <w:t>PO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азотнокислым серебром, то протекает реакция</w:t>
      </w:r>
    </w:p>
    <w:p w:rsidR="009D7FD3" w:rsidRDefault="009D7FD3" w:rsidP="009D7FD3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PO</w:t>
      </w:r>
      <w:r w:rsidRPr="001E53DE">
        <w:rPr>
          <w:sz w:val="28"/>
          <w:szCs w:val="28"/>
          <w:vertAlign w:val="subscript"/>
        </w:rPr>
        <w:t>4</w:t>
      </w:r>
      <w:r w:rsidRPr="001E53DE">
        <w:rPr>
          <w:sz w:val="28"/>
          <w:szCs w:val="28"/>
          <w:vertAlign w:val="superscript"/>
        </w:rPr>
        <w:t>3</w:t>
      </w:r>
      <w:proofErr w:type="gramStart"/>
      <w:r w:rsidRPr="001E53DE">
        <w:rPr>
          <w:sz w:val="28"/>
          <w:szCs w:val="28"/>
          <w:vertAlign w:val="superscript"/>
        </w:rPr>
        <w:t>-</w:t>
      </w:r>
      <w:r w:rsidRPr="001E53DE">
        <w:rPr>
          <w:sz w:val="28"/>
          <w:szCs w:val="28"/>
        </w:rPr>
        <w:t xml:space="preserve">  +</w:t>
      </w:r>
      <w:proofErr w:type="gramEnd"/>
      <w:r w:rsidRPr="001E53DE">
        <w:rPr>
          <w:sz w:val="28"/>
          <w:szCs w:val="28"/>
        </w:rPr>
        <w:t xml:space="preserve"> 3 </w:t>
      </w:r>
      <w:r>
        <w:rPr>
          <w:sz w:val="28"/>
          <w:szCs w:val="28"/>
          <w:lang w:val="en-US"/>
        </w:rPr>
        <w:t>Ag</w:t>
      </w:r>
      <w:r w:rsidRPr="001E53DE">
        <w:rPr>
          <w:sz w:val="28"/>
          <w:szCs w:val="28"/>
          <w:vertAlign w:val="superscript"/>
        </w:rPr>
        <w:t>+</w:t>
      </w:r>
      <w:r w:rsidRPr="001E53DE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Ag</w:t>
      </w:r>
      <w:r w:rsidRPr="001E53DE">
        <w:rPr>
          <w:sz w:val="28"/>
          <w:szCs w:val="28"/>
          <w:vertAlign w:val="subscript"/>
        </w:rPr>
        <w:t>3</w:t>
      </w:r>
      <w:r>
        <w:rPr>
          <w:sz w:val="28"/>
          <w:szCs w:val="28"/>
          <w:lang w:val="en-US"/>
        </w:rPr>
        <w:t>PO</w:t>
      </w:r>
      <w:r w:rsidRPr="001E53DE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↓</w:t>
      </w:r>
    </w:p>
    <w:p w:rsidR="009D7FD3" w:rsidRPr="001E53DE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Тогда в точке эквивалентности концентрация ионов серебра будет в 3 раза больше, чем концентрация ионов </w:t>
      </w:r>
      <w:r>
        <w:rPr>
          <w:sz w:val="28"/>
          <w:szCs w:val="28"/>
          <w:lang w:val="en-US"/>
        </w:rPr>
        <w:t>PO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3-</w:t>
      </w:r>
      <w:r>
        <w:rPr>
          <w:sz w:val="28"/>
          <w:szCs w:val="28"/>
        </w:rPr>
        <w:t>, т.е.</w:t>
      </w:r>
    </w:p>
    <w:p w:rsidR="009D7FD3" w:rsidRDefault="009D7FD3" w:rsidP="009D7FD3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] = 3 </w:t>
      </w:r>
      <w:proofErr w:type="gramStart"/>
      <w:r>
        <w:rPr>
          <w:sz w:val="28"/>
          <w:szCs w:val="28"/>
        </w:rPr>
        <w:t xml:space="preserve">[ </w:t>
      </w:r>
      <w:proofErr w:type="gramEnd"/>
      <w:r>
        <w:rPr>
          <w:sz w:val="28"/>
          <w:szCs w:val="28"/>
          <w:lang w:val="en-US"/>
        </w:rPr>
        <w:t>PO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3-</w:t>
      </w:r>
      <w:r>
        <w:rPr>
          <w:sz w:val="28"/>
          <w:szCs w:val="28"/>
        </w:rPr>
        <w:t>].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Титрование уксусной кислоты можно выразить уравнением</w:t>
      </w:r>
    </w:p>
    <w:p w:rsidR="009D7FD3" w:rsidRDefault="009D7FD3" w:rsidP="009D7FD3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СООН  + О</w:t>
      </w:r>
      <w:proofErr w:type="gramStart"/>
      <w:r>
        <w:rPr>
          <w:sz w:val="28"/>
          <w:szCs w:val="28"/>
        </w:rPr>
        <w:t>Н</w:t>
      </w:r>
      <w:r>
        <w:rPr>
          <w:sz w:val="28"/>
          <w:szCs w:val="28"/>
          <w:vertAlign w:val="superscript"/>
        </w:rPr>
        <w:t>-</w:t>
      </w:r>
      <w:proofErr w:type="gramEnd"/>
      <w:r>
        <w:rPr>
          <w:sz w:val="28"/>
          <w:szCs w:val="28"/>
        </w:rPr>
        <w:t xml:space="preserve">  = 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СОО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 +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Отсюда в точке эквивалентности</w:t>
      </w:r>
    </w:p>
    <w:p w:rsidR="009D7FD3" w:rsidRDefault="009D7FD3" w:rsidP="009D7FD3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[ </w:t>
      </w:r>
      <w:r>
        <w:rPr>
          <w:sz w:val="28"/>
          <w:szCs w:val="28"/>
          <w:lang w:val="en-US"/>
        </w:rPr>
        <w:t>CH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lang w:val="en-US"/>
        </w:rPr>
        <w:t>COOH</w:t>
      </w:r>
      <w:r>
        <w:rPr>
          <w:sz w:val="28"/>
          <w:szCs w:val="28"/>
        </w:rPr>
        <w:t xml:space="preserve">] = </w:t>
      </w:r>
      <w:proofErr w:type="gramStart"/>
      <w:r>
        <w:rPr>
          <w:sz w:val="28"/>
          <w:szCs w:val="28"/>
        </w:rPr>
        <w:t xml:space="preserve">[ </w:t>
      </w:r>
      <w:proofErr w:type="gramEnd"/>
      <w:r>
        <w:rPr>
          <w:sz w:val="28"/>
          <w:szCs w:val="28"/>
          <w:lang w:val="en-US"/>
        </w:rPr>
        <w:t>OH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].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экспериментального определения точки эквивалентности пользуются различными указателями – </w:t>
      </w:r>
      <w:r>
        <w:rPr>
          <w:sz w:val="28"/>
          <w:szCs w:val="28"/>
          <w:u w:val="single"/>
        </w:rPr>
        <w:t>индикаторами</w:t>
      </w:r>
      <w:r>
        <w:rPr>
          <w:sz w:val="28"/>
          <w:szCs w:val="28"/>
        </w:rPr>
        <w:t xml:space="preserve">. Чаще всего используют цветные </w:t>
      </w:r>
      <w:r>
        <w:rPr>
          <w:i/>
          <w:sz w:val="28"/>
          <w:szCs w:val="28"/>
        </w:rPr>
        <w:t>индикаторы, т.е. вещества, которые меняют свою окраску при концентрациях реагирующих веществ, возможно более близких к точке эквивалентности</w:t>
      </w:r>
      <w:r>
        <w:rPr>
          <w:sz w:val="28"/>
          <w:szCs w:val="28"/>
        </w:rPr>
        <w:t>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Момент титрования, когда индикатор изменяет окраску, называют</w:t>
      </w:r>
      <w:r>
        <w:rPr>
          <w:sz w:val="28"/>
          <w:szCs w:val="28"/>
          <w:u w:val="single"/>
        </w:rPr>
        <w:t xml:space="preserve"> точкой конца титрования.</w:t>
      </w:r>
      <w:r>
        <w:rPr>
          <w:sz w:val="28"/>
          <w:szCs w:val="28"/>
        </w:rPr>
        <w:t xml:space="preserve"> В зависимости от способа применения различают две группы индикаторов: </w:t>
      </w:r>
      <w:r>
        <w:rPr>
          <w:i/>
          <w:sz w:val="28"/>
          <w:szCs w:val="28"/>
        </w:rPr>
        <w:t>внешние и внутренние.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большинстве случаев пользуются </w:t>
      </w:r>
      <w:r>
        <w:rPr>
          <w:i/>
          <w:sz w:val="28"/>
          <w:szCs w:val="28"/>
        </w:rPr>
        <w:t>внутренними индикаторами</w:t>
      </w:r>
      <w:r>
        <w:rPr>
          <w:sz w:val="28"/>
          <w:szCs w:val="28"/>
        </w:rPr>
        <w:t xml:space="preserve">, т.е. их непосредственно вводят в испытуемый раствор. Если это невозможно по тем или иным причинам, то в процессе титрования берут время от времени каплю исследуемого раствора и выполняют вне сосуда, в котором титруют капельную реакцию на определяемое вещество или на реактив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рабочий раствор). </w:t>
      </w:r>
      <w:proofErr w:type="gramStart"/>
      <w:r>
        <w:rPr>
          <w:sz w:val="28"/>
          <w:szCs w:val="28"/>
        </w:rPr>
        <w:t>Вещество, используемое для такой реакции называют</w:t>
      </w:r>
      <w:proofErr w:type="gramEnd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внешним индикатором</w:t>
      </w:r>
      <w:r>
        <w:rPr>
          <w:sz w:val="28"/>
          <w:szCs w:val="28"/>
        </w:rPr>
        <w:t>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Титрование с внешним индикатором менее удобно и несколько менее точно.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 зависимости от характера различают следующие группы индикаторов: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>
        <w:rPr>
          <w:sz w:val="28"/>
          <w:szCs w:val="28"/>
          <w:u w:val="single"/>
        </w:rPr>
        <w:t>обычные цветные индикаторы</w:t>
      </w:r>
      <w:proofErr w:type="gramStart"/>
      <w:r>
        <w:rPr>
          <w:sz w:val="28"/>
          <w:szCs w:val="28"/>
        </w:rPr>
        <w:t xml:space="preserve">.. </w:t>
      </w:r>
      <w:proofErr w:type="gramEnd"/>
      <w:r>
        <w:rPr>
          <w:sz w:val="28"/>
          <w:szCs w:val="28"/>
        </w:rPr>
        <w:t>Чаще всего это растворимые в воде вещества, которые обратимо изменяют свою окраску вблизи точки эквивалентности;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u w:val="single"/>
        </w:rPr>
        <w:t>окрашенные или неокрашенные осадки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в некоторых случаях точку эквивалентности    можно определить по образованию или исчезновению осадка. </w:t>
      </w:r>
      <w:proofErr w:type="gramStart"/>
      <w:r>
        <w:rPr>
          <w:sz w:val="28"/>
          <w:szCs w:val="28"/>
        </w:rPr>
        <w:t>Так</w:t>
      </w:r>
      <w:proofErr w:type="gramEnd"/>
      <w:r>
        <w:rPr>
          <w:sz w:val="28"/>
          <w:szCs w:val="28"/>
        </w:rPr>
        <w:t xml:space="preserve"> например, ионы С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perscript"/>
        </w:rPr>
        <w:t xml:space="preserve">- </w:t>
      </w:r>
      <w:r>
        <w:rPr>
          <w:sz w:val="28"/>
          <w:szCs w:val="28"/>
        </w:rPr>
        <w:t xml:space="preserve">можно титровать ионами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 при этом сначала образуется комплексный ион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CN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 +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= </w:t>
      </w:r>
      <w:proofErr w:type="gramStart"/>
      <w:r>
        <w:rPr>
          <w:sz w:val="28"/>
          <w:szCs w:val="28"/>
        </w:rPr>
        <w:t xml:space="preserve">[ </w:t>
      </w:r>
      <w:proofErr w:type="gramEnd"/>
      <w:r>
        <w:rPr>
          <w:sz w:val="28"/>
          <w:szCs w:val="28"/>
          <w:lang w:val="en-US"/>
        </w:rPr>
        <w:t>Ag</w:t>
      </w:r>
      <w:r>
        <w:rPr>
          <w:sz w:val="28"/>
          <w:szCs w:val="28"/>
        </w:rPr>
        <w:t xml:space="preserve"> ( </w:t>
      </w:r>
      <w:r>
        <w:rPr>
          <w:sz w:val="28"/>
          <w:szCs w:val="28"/>
          <w:lang w:val="en-US"/>
        </w:rPr>
        <w:t>CN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]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, но небольшой избыток ионов серебра приводит к образованию белого осадка цианида серебра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[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  <w:lang w:val="en-US"/>
        </w:rPr>
        <w:t>CN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]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 +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=   2</w:t>
      </w:r>
      <w:proofErr w:type="spellStart"/>
      <w:r>
        <w:rPr>
          <w:sz w:val="28"/>
          <w:szCs w:val="28"/>
          <w:lang w:val="en-US"/>
        </w:rPr>
        <w:t>AgCN</w:t>
      </w:r>
      <w:proofErr w:type="spellEnd"/>
      <w:r>
        <w:rPr>
          <w:sz w:val="28"/>
          <w:szCs w:val="28"/>
        </w:rPr>
        <w:t>↓.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Т.е. образование осадка является признаком достижения точки эквивалентности;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u w:val="single"/>
        </w:rPr>
        <w:t>флуоресцентные индикаторы</w:t>
      </w:r>
      <w:r>
        <w:rPr>
          <w:sz w:val="28"/>
          <w:szCs w:val="28"/>
        </w:rPr>
        <w:t xml:space="preserve">. Они используются для титрования мутных или окрашенных растворов. Эти индикаторы при освещении </w:t>
      </w:r>
      <w:proofErr w:type="gramStart"/>
      <w:r>
        <w:rPr>
          <w:sz w:val="28"/>
          <w:szCs w:val="28"/>
        </w:rPr>
        <w:t>УФ-лучами</w:t>
      </w:r>
      <w:proofErr w:type="gramEnd"/>
      <w:r>
        <w:rPr>
          <w:sz w:val="28"/>
          <w:szCs w:val="28"/>
        </w:rPr>
        <w:t xml:space="preserve"> изменяют характер своего свечения;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u w:val="single"/>
        </w:rPr>
        <w:t>индикаторы, экстрагируемые органическими растворителями</w:t>
      </w:r>
      <w:r>
        <w:rPr>
          <w:sz w:val="28"/>
          <w:szCs w:val="28"/>
        </w:rPr>
        <w:t>. Такие индикаторы применяют при титровании окрашенных или мутных водных растворов; изменение окраски наблюдается в слое органического растворителя;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u w:val="single"/>
        </w:rPr>
        <w:t>физико-химические индикаторы</w:t>
      </w:r>
      <w:r>
        <w:rPr>
          <w:sz w:val="28"/>
          <w:szCs w:val="28"/>
        </w:rPr>
        <w:t>. Их используют при различных электрохимических методах анализа, при этом измеряют некоторые физико-химические показатели свойств растворов, например электропроводность.</w:t>
      </w:r>
    </w:p>
    <w:p w:rsidR="009D7FD3" w:rsidRDefault="009D7FD3" w:rsidP="009D7FD3">
      <w:pPr>
        <w:ind w:firstLine="900"/>
        <w:jc w:val="both"/>
        <w:rPr>
          <w:sz w:val="28"/>
          <w:szCs w:val="28"/>
        </w:rPr>
      </w:pPr>
    </w:p>
    <w:p w:rsidR="0087183A" w:rsidRDefault="0087183A">
      <w:bookmarkStart w:id="0" w:name="_GoBack"/>
      <w:bookmarkEnd w:id="0"/>
    </w:p>
    <w:sectPr w:rsidR="00871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704"/>
    <w:rsid w:val="00600704"/>
    <w:rsid w:val="0087183A"/>
    <w:rsid w:val="009D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F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F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850</Words>
  <Characters>4846</Characters>
  <Application>Microsoft Office Word</Application>
  <DocSecurity>0</DocSecurity>
  <Lines>40</Lines>
  <Paragraphs>11</Paragraphs>
  <ScaleCrop>false</ScaleCrop>
  <Company>CtrlSoft</Company>
  <LinksUpToDate>false</LinksUpToDate>
  <CharactersWithSpaces>5685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2</cp:revision>
  <dcterms:created xsi:type="dcterms:W3CDTF">2019-09-20T11:23:00Z</dcterms:created>
  <dcterms:modified xsi:type="dcterms:W3CDTF">2019-09-20T11:23:00Z</dcterms:modified>
</cp:coreProperties>
</file>